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 xml:space="preserve"> 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W w:w="1523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7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дисциплины: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дальнейшее развитие иноязычной коммуникативной компетенции в , а именно: совокупности еѐ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составляющихречевая компетенция — развитие коммуникативных умений в четырѐх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ситуациями общения, отобранными для данного уровня обучения; освоение знаний о языковых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аргументированных высказываниях;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социокультурная/межкультурная компетенция — приобщение учащихся к культуре, традициям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 сф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ить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pStyle w:val="41"/>
              <w:numPr>
                <w:ilvl w:val="0"/>
                <w:numId w:val="0"/>
              </w:num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 ок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ончании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обучающийся должен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Знать/понимать: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словбенности структуры простых и сложных предложений изучаемого иносообразования (аффиксация, словосложение, конверсия);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осотранного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интонацию различных коммуникативных типов предложений;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признаки изученных грамматических явлений</w:t>
            </w:r>
          </w:p>
          <w:p>
            <w:pPr>
              <w:pStyle w:val="41"/>
              <w:numPr>
                <w:ilvl w:val="0"/>
                <w:numId w:val="0"/>
              </w:numPr>
              <w:rPr>
                <w:color w:val="FF0000"/>
                <w:sz w:val="22"/>
                <w:szCs w:val="22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Уметь: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Говорение: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ascii="Symbol" w:hAnsi="Symbol" w:eastAsia="SimSun" w:cs="Symbo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расспрашивать собеседника и отвечать на его вопросы, высказывая своѐ мнение, просьбу,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усвоенный лексико-грамматический материал;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повествовать о событиях, явлениях, фактах;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участвовать в беседе, дискуссии, выражать своѐ отношение к обсуждаемой проблеме;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Диалогическая речь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диалог-обмен мнениями и комбинированные диалоги. Объѐм диалога 7-9 реплик со стороны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каждого учащегося. Продолжительность диалога 2—3минуты . </w:t>
            </w:r>
          </w:p>
          <w:p>
            <w:pPr>
              <w:keepNext w:val="0"/>
              <w:keepLines w:val="0"/>
              <w:widowControl/>
              <w:suppressLineNumbers w:val="0"/>
              <w:ind w:firstLine="110" w:firstLineChars="5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Монологическая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ситуацию. Объѐм монологического высказывания до 12— 15 фраз. Продолжительность монолога 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 3 минуты                                                                           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Аудирование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для себя значимую информацию;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главные факты в тексте, опуская второстепенные;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темы;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определять и устанавливать последовательность фактов;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устанавливать причинно-следственные связи;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использовать переспрос, просьбу повторить;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причинно-следственные связи законченных отрывков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комментировать/объяснять те или иные факты, описанные в тексте;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делать заключения и выводы из прочитанного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пониманием основного содержания текста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осуществляется на несложных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некоторое количество незнакомых слов. Объѐм текста для чтения — 700—800 слов.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выборочным пониманием нужной или интересующей информации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предполагает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необходима или представляет интерес для учащихся. Объѐм текста для чтения — около 400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слов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осваивать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учащихся к культуре, традициям и реалиям стран изуча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мого иностранного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формировать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 знакомить с приемами  познания иноязычной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культур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, в том числе с использованием новых информационных технологий;</w:t>
            </w: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Письменная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заполнять анкеты и формуляры;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поздравления с днѐм рождения и другими праздниками, выражать пожелания (объѐмом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40-50 слов, включая адрес);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этикета, принятые в странах изучаемого языка Объѐм личного письма около 110 слов, включая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адрес;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свои чувства;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аппаратуру;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повседневной жизни для: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контактов в доступных пределах;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создания целостной картины полиязычного, поликультурного мира, осознания места и роли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родного и изучаемого иностранного языка в этом мире;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меть  навыки письменной речи ,соответствующим уровням 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sz w:val="22"/>
                <w:szCs w:val="22"/>
                <w:lang w:val="ru-RU"/>
              </w:rPr>
              <w:t>1,В2</w:t>
            </w: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8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3536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2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jc w:val="both"/>
        <w:rPr>
          <w:sz w:val="28"/>
          <w:szCs w:val="28"/>
        </w:rPr>
      </w:pPr>
      <w:r>
        <w:t xml:space="preserve">         </w:t>
      </w:r>
      <w:r>
        <w:rPr>
          <w:rFonts w:hint="default"/>
          <w:b/>
          <w:lang w:val="ru-RU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Календарь (график) реализации содержания дисциплины. Методы преподавания и обучения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b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</w:t>
            </w:r>
            <w:r>
              <w:rPr>
                <w:rFonts w:hint="default"/>
                <w:b/>
                <w:bCs/>
                <w:lang w:val="ru-RU"/>
              </w:rPr>
              <w:t xml:space="preserve">        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rFonts w:hint="default"/>
                <w:i/>
                <w:sz w:val="24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Un après – midi à problemes. </w:t>
            </w:r>
            <w:r>
              <w:rPr>
                <w:i/>
                <w:sz w:val="24"/>
                <w:lang w:val="en-US"/>
              </w:rPr>
              <w:t>P. 98.</w:t>
            </w:r>
            <w:r>
              <w:rPr>
                <w:rFonts w:hint="default"/>
                <w:i/>
                <w:sz w:val="24"/>
                <w:lang w:val="ru-RU"/>
              </w:rPr>
              <w:t>/</w:t>
            </w:r>
          </w:p>
          <w:p>
            <w:pPr>
              <w:pStyle w:val="14"/>
              <w:widowControl/>
              <w:autoSpaceDE/>
              <w:autoSpaceDN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>T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i/>
                <w:sz w:val="24"/>
                <w:lang w:val="fr-FR"/>
              </w:rPr>
              <w:t xml:space="preserve">out est bien qui finit bien. </w:t>
            </w:r>
            <w:r>
              <w:rPr>
                <w:i/>
                <w:sz w:val="24"/>
                <w:lang w:val="en-US"/>
              </w:rPr>
              <w:t>P. 106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Aux armes citoyens! P.118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pStyle w:val="14"/>
              <w:ind w:left="-10"/>
              <w:rPr>
                <w:i/>
                <w:sz w:val="24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sz w:val="24"/>
                <w:lang w:val="fr-FR"/>
              </w:rPr>
              <w:t xml:space="preserve">Qui ne risqué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i/>
                <w:sz w:val="24"/>
                <w:lang w:val="en-US"/>
              </w:rPr>
              <w:t>Les saisons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La fortune sourit aux audacieux. </w:t>
            </w:r>
            <w:r>
              <w:rPr>
                <w:i/>
                <w:sz w:val="24"/>
                <w:lang w:val="fr-FR"/>
              </w:rPr>
              <w:br w:type="textWrapping"/>
            </w:r>
            <w:r>
              <w:rPr>
                <w:i/>
                <w:sz w:val="24"/>
                <w:lang w:val="en-US"/>
              </w:rPr>
              <w:t>P. 134.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Модуль 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</w:t>
            </w:r>
            <w:r>
              <w:rPr>
                <w:rFonts w:hint="default"/>
                <w:i/>
                <w:sz w:val="24"/>
                <w:lang w:val="ru-RU"/>
              </w:rPr>
              <w:t>4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La France et le monde. </w:t>
            </w:r>
            <w:r>
              <w:rPr>
                <w:i/>
                <w:sz w:val="24"/>
                <w:lang w:val="en-US"/>
              </w:rPr>
              <w:t>P. 154.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  <w:tcBorders>
              <w:bottom w:val="nil"/>
            </w:tcBorders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bottom w:val="nil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en-US"/>
              </w:rPr>
              <w:t>Campagne publicitaire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 France</w:t>
            </w:r>
            <w:r>
              <w:rPr>
                <w:rFonts w:hint="default"/>
                <w:i/>
                <w:sz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19"/>
        <w:tblpPr w:leftFromText="180" w:rightFromText="180" w:vertAnchor="text" w:tblpX="13037" w:tblpY="63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2" w:type="dxa"/>
            <w:tcBorders>
              <w:top w:val="nil"/>
              <w:left w:val="nil"/>
            </w:tcBorders>
          </w:tcPr>
          <w:p>
            <w:pPr>
              <w:rPr>
                <w:sz w:val="20"/>
                <w:szCs w:val="20"/>
                <w:vertAlign w:val="baseline"/>
                <w:lang w:val="kk-KZ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3937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37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086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11</w:t>
            </w:r>
          </w:p>
        </w:tc>
        <w:tc>
          <w:tcPr>
            <w:tcW w:w="5962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37" w:type="dxa"/>
            <w:tcBorders>
              <w:right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086" w:type="dxa"/>
            <w:vMerge w:val="continue"/>
            <w:tcBorders>
              <w:top w:val="nil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i/>
                <w:sz w:val="24"/>
                <w:lang w:val="fr-FR"/>
              </w:rPr>
              <w:t>L`économie de la France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37" w:type="dxa"/>
            <w:tcBorders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086" w:type="dxa"/>
            <w:vMerge w:val="continue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>La vie politique de la Fran</w:t>
            </w:r>
            <w:r>
              <w:rPr>
                <w:rFonts w:hint="default"/>
                <w:i/>
                <w:sz w:val="24"/>
                <w:lang w:val="en-US"/>
              </w:rPr>
              <w:t>ce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3937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086" w:type="dxa"/>
            <w:vMerge w:val="continue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</w:tbl>
    <w:p>
      <w:pPr>
        <w:contextualSpacing/>
        <w:jc w:val="both"/>
        <w:rPr>
          <w:b/>
        </w:rPr>
      </w:pPr>
    </w:p>
    <w:p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vertAlign w:val="baseline"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  <w:i/>
          <w:lang w:val="kk-KZ"/>
        </w:rPr>
      </w:pPr>
    </w:p>
    <w:p>
      <w:pPr>
        <w:contextualSpacing/>
        <w:jc w:val="both"/>
        <w:rPr>
          <w:b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>______Б.У.Джолдасбекова</w:t>
      </w:r>
      <w:r>
        <w:rPr>
          <w:b/>
        </w:rPr>
        <w:tab/>
      </w:r>
      <w:r>
        <w:rPr>
          <w:rFonts w:hint="default"/>
          <w:b/>
          <w:lang w:val="ru-RU"/>
        </w:rPr>
        <w:t xml:space="preserve">     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7886" w:leftChars="2600" w:hanging="11646" w:hangingChars="48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Заведующая кафедрой______М.М.Аймагамбетова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Лектор_____Ш.М.Макатаева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en-US"/>
        </w:rPr>
      </w:pP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3E32E64"/>
    <w:rsid w:val="36C309FF"/>
    <w:rsid w:val="3C3D0F13"/>
    <w:rsid w:val="3C5D747E"/>
    <w:rsid w:val="416217D9"/>
    <w:rsid w:val="56E9367D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12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2023-08-22T17:12:33Z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FE0B467310074A03BD5EE14BE0566690</vt:lpwstr>
  </property>
</Properties>
</file>